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4FBFB">
      <w:pPr>
        <w:spacing w:line="1100" w:lineRule="exact"/>
        <w:jc w:val="center"/>
        <w:rPr>
          <w:rFonts w:eastAsia="方正小标宋简体"/>
          <w:color w:val="FF0000"/>
          <w:spacing w:val="60"/>
          <w:sz w:val="84"/>
          <w:szCs w:val="84"/>
        </w:rPr>
      </w:pPr>
      <w:bookmarkStart w:id="3" w:name="_GoBack"/>
      <w:bookmarkEnd w:id="3"/>
      <w:r>
        <w:rPr>
          <w:rFonts w:hint="eastAsia" w:eastAsia="方正小标宋简体"/>
          <w:color w:val="FF0000"/>
          <w:spacing w:val="60"/>
          <w:sz w:val="84"/>
          <w:szCs w:val="84"/>
        </w:rPr>
        <w:t>汉寿县人民检察院</w:t>
      </w:r>
    </w:p>
    <w:p w14:paraId="1C5664BE">
      <w:pPr>
        <w:ind w:firstLine="720" w:firstLineChars="200"/>
        <w:jc w:val="center"/>
        <w:rPr>
          <w:rFonts w:hint="eastAsia" w:ascii="宋体" w:hAnsi="宋体"/>
          <w:sz w:val="44"/>
        </w:rPr>
      </w:pPr>
      <w:r>
        <w:rPr>
          <w:rFonts w:ascii="宋体" w:hAnsi="宋体" w:eastAsia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269875</wp:posOffset>
                </wp:positionV>
                <wp:extent cx="5292725" cy="0"/>
                <wp:effectExtent l="0" t="28575" r="10795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72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21.25pt;height:0pt;width:416.75pt;z-index:251660288;mso-width-relative:page;mso-height-relative:page;" filled="f" stroked="t" coordsize="21600,21600" o:gfxdata="UEsDBAoAAAAAAIdO4kAAAAAAAAAAAAAAAAAEAAAAZHJzL1BLAwQUAAAACACHTuJAhpAlW9QAAAAI&#10;AQAADwAAAGRycy9kb3ducmV2LnhtbE2PzW7CMBCE75X6DtZW6g1sTEOjNA6HSj23/Bw4mnhJIuJ1&#10;ZDsE3r6uONDj7Ixmvi3XV9uzC/rQOVKwmAtgSLUzHTUK9ruvWQ4sRE1G945QwQ0DrKvnp1IXxk20&#10;wcs2NiyVUCi0gjbGoeA81C1aHeZuQEreyXmrY5K+4cbrKZXbnkshVtzqjtJCqwf8bLE+b0er4PDu&#10;yU2b79PPcqRbkMN5JzOh1OvLQnwAi3iNjzD84Sd0qBLT0Y1kAusVzPJlSip4kxmw5Ocyk8CO9wOv&#10;Sv7/geoXUEsDBBQAAAAIAIdO4kBzCDNjAAIAAPkDAAAOAAAAZHJzL2Uyb0RvYy54bWytU0uOEzEQ&#10;3SNxB8t70kmkMNBKZxYTwgZBJIYDVOzqtIV/sp10cgkugMQOVizZc5sZjkG5uyfMZ5MFvXCXXeVX&#10;9V6V55cHo9keQ1TOVnwyGnOGVjip7Lbin65XL15xFhNYCdpZrPgRI79cPH82b32JU9c4LTEwArGx&#10;bH3Fm5R8WRRRNGggjpxHS87aBQOJtmFbyAAtoRtdTMfjl0XrgvTBCYyRTpe9kw+I4RxAV9dK4NKJ&#10;nUGbetSAGhJRio3ykS+6ausaRfpQ1xET0xUnpqlbKQnZm7wWizmU2wC+UWIoAc4p4REnA8pS0hPU&#10;EhKwXVBPoIwSwUVXp5FwpuiJdIoQi8n4kTYfG/DYcSGpoz+JHv8frHi/XwemJE0CZxYMNfz266+b&#10;L9///P5G6+3PH2ySRWp9LCn2yq7DsIt+HTLjQx1M/hMXduiEPZ6ExUNigg5n09fTi+mMM3HnK/5d&#10;9CGmt+gMy0bFtbKZM5SwfxcTJaPQu5B8rC1rCfFiMqMeCqAJrKnzZBpPLBL18fN1M3QjOq3kSmmd&#10;L8aw3VzpwPZAs7BajenLzAj+QVjOtYTY9HGdq5+SBkG+sZKloyeVLD0OnisxKDnTSG8pWwQIZQKl&#10;z4mk1NrmC9hN6kA3S92Lm62Nk0fq0M4HtW1Inq4bRfbQRHTVD9ObR+7+nuz7L3bx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aQJVvUAAAACAEAAA8AAAAAAAAAAQAgAAAAIgAAAGRycy9kb3ducmV2&#10;LnhtbFBLAQIUABQAAAAIAIdO4kBzCDNjAAIAAPkDAAAOAAAAAAAAAAEAIAAAACM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79C22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</w:rPr>
      </w:pPr>
    </w:p>
    <w:p w14:paraId="767F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年法治政府建设年度报告</w:t>
      </w:r>
    </w:p>
    <w:p w14:paraId="428E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0550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2024年，我院在县委和上级检察机关的坚强领导下，坚持以习近平新时代中国特色社会主义思想为指导，深入贯彻落实党的二十大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二十届二中、三中全会精神，紧紧围绕县委“强工稳农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活旅靓城”发展战略，以“全市领先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全省一流”为目标，认真开展“五讲五比”活动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，扎实开展“工作质效深化年”活动，依法履行法律监督职责，各项检察工作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稳步推进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为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推进法治政府建设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发挥了积极作用。</w:t>
      </w:r>
    </w:p>
    <w:p w14:paraId="07F418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eastAsia="zh-CN"/>
        </w:rPr>
        <w:t>推进法治政府建设的主要举措</w:t>
      </w:r>
    </w:p>
    <w:p w14:paraId="33E21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公文楷体" w:cs="Times New Roman"/>
          <w:sz w:val="32"/>
          <w:szCs w:val="32"/>
          <w:lang w:val="en-US" w:eastAsia="zh-CN"/>
        </w:rPr>
        <w:t>强化政治引领</w:t>
      </w:r>
      <w:r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  <w:t>，推进法治汉寿建设</w:t>
      </w:r>
    </w:p>
    <w:p w14:paraId="47768D9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1" w:firstLineChars="200"/>
        <w:jc w:val="both"/>
        <w:textAlignment w:val="auto"/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公文仿宋" w:cs="Times New Roman"/>
          <w:b/>
          <w:bCs/>
          <w:sz w:val="32"/>
          <w:szCs w:val="32"/>
          <w:lang w:val="en-US" w:eastAsia="zh-CN"/>
        </w:rPr>
        <w:t>不断强化党的创新理论武装</w:t>
      </w:r>
      <w:r>
        <w:rPr>
          <w:rFonts w:hint="default" w:ascii="Times New Roman" w:hAnsi="Times New Roman" w:eastAsia="方正公文仿宋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深入学习贯彻习近平新时代中国特色社会主义思想、党的二十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二十届二中、三中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全会精神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、习近平法治思想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，把政治学习融入检察履职全过程。发挥“关键少数”示范带头作用，严格执行“第一议题”和党组理论中心组学习制度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组织开展集体学习29次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</w:rPr>
        <w:t>。筑牢意识形态安全屏障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</w:rPr>
        <w:t>严格落实意识形态责任制，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召开会议分析研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判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意识形态工作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2次。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持续落实“三会一课”制度，开展“一月一课一片一实践”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主题党日活动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，丰富活动内容与形式，不断促进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党建与业务深度融合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14E79A8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着力优化法治化营商环境。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抓实“检察护企”暨“三高四新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法治护航”专项行动，加大打击力度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起诉破坏社会主义市场经济犯罪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人。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开展“法治护航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问需企业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”座谈会，搭建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检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企沟通联系平台。</w:t>
      </w:r>
      <w:r>
        <w:rPr>
          <w:rFonts w:hint="default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组织开展“查扣冻”民营企业资产、立案、“挂案”清结等专项监督，</w:t>
      </w:r>
      <w:r>
        <w:rPr>
          <w:rFonts w:hint="eastAsia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其中</w:t>
      </w:r>
      <w:r>
        <w:rPr>
          <w:rFonts w:hint="default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清理“挂案”5件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。认真参与“三官联项目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万警联万企”行动，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选派36名干警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联系企业18家，开展走访调研72人次，收集意见12条，帮办实事9件。积极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“你服务 我保护”共创平安汉寿活动，严厉打击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侵犯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新就业从业群体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权益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犯罪，从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快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办理金某辉交通肇事致使外卖小哥死亡案，最终金某辉被判处有期徒刑两年六个月。</w:t>
      </w:r>
    </w:p>
    <w:p w14:paraId="4A24604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sz w:val="32"/>
          <w:szCs w:val="32"/>
          <w:lang w:eastAsia="zh-CN"/>
        </w:rPr>
        <w:t>大力开展</w:t>
      </w:r>
      <w:r>
        <w:rPr>
          <w:rFonts w:hint="eastAsia" w:ascii="方正公文楷体" w:hAnsi="方正公文楷体" w:eastAsia="方正公文楷体" w:cs="方正公文楷体"/>
          <w:b w:val="0"/>
          <w:bCs w:val="0"/>
          <w:sz w:val="32"/>
          <w:szCs w:val="32"/>
          <w:lang w:val="en-US" w:eastAsia="zh-CN"/>
        </w:rPr>
        <w:t>法治</w:t>
      </w:r>
      <w:r>
        <w:rPr>
          <w:rFonts w:hint="eastAsia" w:ascii="方正公文楷体" w:hAnsi="方正公文楷体" w:eastAsia="方正公文楷体" w:cs="方正公文楷体"/>
          <w:b w:val="0"/>
          <w:bCs w:val="0"/>
          <w:sz w:val="32"/>
          <w:szCs w:val="32"/>
          <w:lang w:eastAsia="zh-CN"/>
        </w:rPr>
        <w:t>宣传活动。</w:t>
      </w:r>
      <w:r>
        <w:rPr>
          <w:rFonts w:hint="default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开展平安创建志愿</w:t>
      </w:r>
      <w:r>
        <w:rPr>
          <w:rFonts w:hint="eastAsia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服务</w:t>
      </w:r>
      <w:r>
        <w:rPr>
          <w:rFonts w:hint="default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活动12次，面对面</w:t>
      </w:r>
      <w:r>
        <w:rPr>
          <w:rFonts w:hint="eastAsia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开展</w:t>
      </w:r>
      <w:r>
        <w:rPr>
          <w:rFonts w:hint="default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普法</w:t>
      </w:r>
      <w:r>
        <w:rPr>
          <w:rFonts w:hint="eastAsia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宣传</w:t>
      </w:r>
      <w:r>
        <w:rPr>
          <w:rFonts w:hint="default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，引导群众</w:t>
      </w:r>
      <w:r>
        <w:rPr>
          <w:rFonts w:hint="eastAsia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知法、</w:t>
      </w:r>
      <w:r>
        <w:rPr>
          <w:rFonts w:hint="default" w:ascii="Times New Roman" w:hAnsi="Times New Roman" w:eastAsia="方正公文仿宋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学法、守法、用法。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围绕“加强知识产权法治保障，有力支持创新突破产业突围”的主题，以全民守法为关键点，开展知识产权宣传周活动，检察干警深入大型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企业、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商铺、商场出入口、社区、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等人员集中的地点，开展知识产权法、合同法等法治宣传活动，共计发放宣传资料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000余份，接受企业法律咨询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余次。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</w:p>
    <w:p w14:paraId="4221C91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sz w:val="32"/>
          <w:szCs w:val="32"/>
          <w:lang w:eastAsia="zh-CN"/>
        </w:rPr>
        <w:t>（</w:t>
      </w:r>
      <w:r>
        <w:rPr>
          <w:rFonts w:hint="eastAsia" w:ascii="方正公文楷体" w:hAnsi="方正公文楷体" w:eastAsia="方正公文楷体" w:cs="方正公文楷体"/>
          <w:sz w:val="32"/>
          <w:szCs w:val="32"/>
          <w:lang w:val="en-US" w:eastAsia="zh-CN"/>
        </w:rPr>
        <w:t>二</w:t>
      </w:r>
      <w:r>
        <w:rPr>
          <w:rFonts w:hint="eastAsia" w:ascii="方正公文楷体" w:hAnsi="方正公文楷体" w:eastAsia="方正公文楷体" w:cs="方正公文楷体"/>
          <w:sz w:val="32"/>
          <w:szCs w:val="32"/>
          <w:lang w:eastAsia="zh-CN"/>
        </w:rPr>
        <w:t>）</w:t>
      </w:r>
      <w:r>
        <w:rPr>
          <w:rFonts w:hint="eastAsia" w:ascii="方正公文楷体" w:hAnsi="方正公文楷体" w:eastAsia="方正公文楷体" w:cs="方正公文楷体"/>
          <w:sz w:val="32"/>
          <w:szCs w:val="32"/>
          <w:lang w:val="en-US" w:eastAsia="zh-CN"/>
        </w:rPr>
        <w:t>服务中心大局，护航汉寿经济发展</w:t>
      </w:r>
    </w:p>
    <w:p w14:paraId="3E25B54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全力维护</w:t>
      </w:r>
      <w:r>
        <w:rPr>
          <w:rFonts w:hint="eastAsia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安全</w:t>
      </w:r>
      <w:r>
        <w:rPr>
          <w:rFonts w:hint="default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稳定。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严厉打击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危害国家安全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、破坏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秩序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等各类刑事犯罪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办理审查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逮捕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案件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415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人，审查起诉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案件543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833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人。常态化开展扫黑除恶斗争，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起诉涉黑恶犯罪8人，全程介入并起诉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夏某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弟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等4人涉恶案件，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就相关社会治理问题制发检察建议书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根据县域治安形势，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积极参与对龙阳街道、太子庙、蒋家嘴、酉港、丰家铺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乡镇的社会治安重点整治工作。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依法从严从快惩治重大刑事犯罪，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提前介入、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引导侦查“6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20命案”等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重大刑事案件5件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从重打击严重影响人民群众安全感犯罪，对盗抢骗、寻衅滋事犯罪提起公诉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143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人。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持续保持严打高压态势，起诉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易发、多发的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电诈网赌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、偷越（国）边境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lang w:val="en-US" w:eastAsia="zh-CN"/>
        </w:rPr>
        <w:t>犯罪65人。“零容忍”打击涉毒品犯罪，起诉72人。依法惩治涉众型金融犯罪，起诉13人</w:t>
      </w:r>
      <w:r>
        <w:rPr>
          <w:rFonts w:hint="eastAsia" w:ascii="Times New Roman" w:hAnsi="Times New Roman" w:eastAsia="方正公文仿宋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起诉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张某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等3人非法吸收公众存款案，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经一审判决被告人十三年至十一年不等有期徒刑。</w:t>
      </w:r>
    </w:p>
    <w:p w14:paraId="4CBAFAA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守护</w:t>
      </w:r>
      <w:r>
        <w:rPr>
          <w:rFonts w:hint="default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未成年人</w:t>
      </w:r>
      <w:r>
        <w:rPr>
          <w:rFonts w:hint="eastAsia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成长</w:t>
      </w:r>
      <w:r>
        <w:rPr>
          <w:rFonts w:hint="default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深入开展“利剑护蕾</w:t>
      </w: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highlight w:val="none"/>
          <w:lang w:eastAsia="zh-CN"/>
        </w:rPr>
        <w:t>·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雷霆行动”，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依法严惩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性侵未成年人犯罪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批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捕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人，起诉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人。</w:t>
      </w:r>
      <w:r>
        <w:rPr>
          <w:rFonts w:hint="eastAsia" w:eastAsia="方正公文仿宋"/>
          <w:bCs/>
          <w:color w:val="auto"/>
          <w:sz w:val="32"/>
          <w:szCs w:val="32"/>
          <w:highlight w:val="none"/>
          <w:lang w:val="en-US" w:eastAsia="zh-CN"/>
        </w:rPr>
        <w:t>对涉罪未成年人，坚持“</w:t>
      </w:r>
      <w:r>
        <w:rPr>
          <w:rFonts w:eastAsia="方正公文仿宋"/>
          <w:bCs/>
          <w:color w:val="auto"/>
          <w:sz w:val="32"/>
          <w:szCs w:val="32"/>
          <w:highlight w:val="none"/>
        </w:rPr>
        <w:t>宽容不纵容</w:t>
      </w:r>
      <w:r>
        <w:rPr>
          <w:rFonts w:hint="eastAsia" w:eastAsia="方正公文仿宋"/>
          <w:bCs/>
          <w:color w:val="auto"/>
          <w:sz w:val="32"/>
          <w:szCs w:val="32"/>
          <w:highlight w:val="none"/>
          <w:lang w:val="en-US" w:eastAsia="zh-CN"/>
        </w:rPr>
        <w:t>”理念</w:t>
      </w:r>
      <w:r>
        <w:rPr>
          <w:rFonts w:eastAsia="方正公文仿宋"/>
          <w:bCs/>
          <w:color w:val="auto"/>
          <w:sz w:val="32"/>
          <w:szCs w:val="32"/>
          <w:highlight w:val="none"/>
        </w:rPr>
        <w:t>，批捕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人，起诉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eastAsia="方正公文仿宋"/>
          <w:bCs/>
          <w:color w:val="auto"/>
          <w:sz w:val="32"/>
          <w:szCs w:val="32"/>
          <w:highlight w:val="none"/>
        </w:rPr>
        <w:t>人</w:t>
      </w:r>
      <w:r>
        <w:rPr>
          <w:rFonts w:hint="eastAsia" w:eastAsia="方正公文仿宋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推动强制报告制度落实，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协同相关部门对县内旅馆业、娱乐业等涉未成年人重点行业场所开展专项行动，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清查重点行业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场所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4家，消除风险隐患6处。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发挥法治副校长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实职化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作用，就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预防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性侵、校园欺凌等内容开展法治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讲座、检察开放日等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35次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制作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预防性侵未成年人检察公益宣传片，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在全县中小学校播放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8DCE2E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助力社会治理现代化</w:t>
      </w:r>
      <w:r>
        <w:rPr>
          <w:rFonts w:hint="default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全面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准确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宽严相济刑事政策，坚持惩治犯罪与预防犯罪并举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、依法从严与依法从宽并重，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深化落实认罪认罚从宽制度，认罪认罚适用率达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82.46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%，对轻微刑事犯罪嫌疑人依法不批捕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142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 xml:space="preserve">人，不起诉 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187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人，促进认罪悔罪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减少社会对抗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，增进社会和谐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。坚持治罪与治理并重，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积极推动源头治理和系统治理，结合办案，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发出社会治理类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检察建议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份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，推动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有关单位改进工作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val="en-US"/>
        </w:rPr>
        <w:t>“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eastAsia="zh-CN"/>
        </w:rPr>
        <w:t>警灯闪亮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val="en-US"/>
        </w:rPr>
        <w:t>”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eastAsia="zh-CN"/>
        </w:rPr>
        <w:t>治安巡逻</w:t>
      </w:r>
      <w:r>
        <w:rPr>
          <w:rFonts w:hint="eastAsia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eastAsia="zh-CN"/>
        </w:rPr>
        <w:t>次。</w:t>
      </w:r>
    </w:p>
    <w:p w14:paraId="65C869D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多元</w:t>
      </w:r>
      <w:r>
        <w:rPr>
          <w:rFonts w:hint="default" w:ascii="Times New Roman" w:hAnsi="Times New Roman" w:eastAsia="方正公文楷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化解矛盾纠纷。</w:t>
      </w:r>
      <w:r>
        <w:rPr>
          <w:rFonts w:hint="default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eastAsia="zh-CN" w:bidi="ar-SA"/>
        </w:rPr>
        <w:t>坚持和发展新时代“枫桥经验”，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开展“化解矛盾风险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维护社会稳定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”专项治理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推进信访工作法治化，</w:t>
      </w:r>
      <w:r>
        <w:rPr>
          <w:rFonts w:hint="default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常态化</w:t>
      </w:r>
      <w:r>
        <w:rPr>
          <w:rFonts w:hint="eastAsia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落实检察长接待日和</w:t>
      </w:r>
      <w:r>
        <w:rPr>
          <w:rFonts w:hint="default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院领导包案</w:t>
      </w:r>
      <w:r>
        <w:rPr>
          <w:rFonts w:hint="eastAsia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制度。</w:t>
      </w:r>
      <w:r>
        <w:rPr>
          <w:rFonts w:hint="eastAsia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val="en-US" w:eastAsia="zh-CN"/>
        </w:rPr>
        <w:t>持续选派干警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eastAsia="zh-CN"/>
        </w:rPr>
        <w:t>在县信访局轮流坐班，</w:t>
      </w:r>
      <w:r>
        <w:rPr>
          <w:rFonts w:hint="eastAsia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val="en-US" w:eastAsia="zh-CN"/>
        </w:rPr>
        <w:t>接访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val="en-US" w:eastAsia="zh-CN"/>
        </w:rPr>
        <w:t>群众</w:t>
      </w:r>
      <w:r>
        <w:rPr>
          <w:rFonts w:hint="eastAsia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eastAsia="zh-CN"/>
        </w:rPr>
        <w:t>人次</w:t>
      </w:r>
      <w:r>
        <w:rPr>
          <w:rFonts w:hint="eastAsia" w:ascii="Times New Roman" w:hAnsi="Times New Roman" w:eastAsia="方正公文仿宋" w:cs="Times New Roman"/>
          <w:bCs/>
          <w:i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强化在办案中化解矛盾，稳妥处理控告申诉类信访17件</w:t>
      </w:r>
      <w:r>
        <w:rPr>
          <w:rFonts w:hint="eastAsia" w:ascii="Times New Roman" w:hAnsi="Times New Roman" w:eastAsia="方正公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释法说理，召开听证会1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次，听证案件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件。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关爱特殊群体，办理司法救助案件15件18人，发放救助金1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万元。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对军人军属开展联合司法救助经验写入省检察院工作报告。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办理的李某平等3人司法救助案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入选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最高检与全国妇联协作开展司法救助十大典型案例。</w:t>
      </w:r>
    </w:p>
    <w:p w14:paraId="2D2C323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楷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公文楷体" w:cs="Times New Roman"/>
          <w:sz w:val="32"/>
          <w:szCs w:val="32"/>
          <w:lang w:val="en-US" w:eastAsia="zh-CN"/>
        </w:rPr>
        <w:t>深耕</w:t>
      </w:r>
      <w:r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  <w:t>法律监督，强化法治建设成效</w:t>
      </w:r>
    </w:p>
    <w:p w14:paraId="31BDAF8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sz w:val="32"/>
          <w:szCs w:val="32"/>
          <w:lang w:eastAsia="zh-CN"/>
        </w:rPr>
        <w:t>全面做优刑事检察。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加强刑事立案和侦查活动监督，监督立案20件，监督撤案11件，针对侦查活动违法行为，提出纠正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件次。向审判机关发出纠正违法通知书5份。派驻办案组前往公安机关负责轻案办理和强化侦协办实质化运行，轻罪治理工作取得初步效果，办理轻案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件。加强刑罚执行和监管活动监督，共办理各类刑事执行检察监督案件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件。切实开展判处实刑未收监收押专项清理监督，监督收监执行案件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件。</w:t>
      </w:r>
    </w:p>
    <w:p w14:paraId="1A64774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sz w:val="32"/>
          <w:szCs w:val="32"/>
          <w:lang w:eastAsia="zh-CN"/>
        </w:rPr>
        <w:t>精准做强民事检察。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共办理民事检察监督案件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159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件。着力推动“检护民生”专项工作，出台《汉寿县人民检察院“检护民生”民事生效裁判监督的专项活动实施方案》。聚焦妇女、残疾人、老年人等特殊群体的突出民生问题，办理民事支持起诉案件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41件，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依法维护了弱势力群体利益。切实开展深层次违法监督，向县纪委监察委移送违纪线索，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1名司法工作人员受到党纪政务处分。</w:t>
      </w:r>
    </w:p>
    <w:p w14:paraId="5D6415A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sz w:val="32"/>
          <w:szCs w:val="32"/>
          <w:lang w:eastAsia="zh-CN"/>
        </w:rPr>
        <w:t>努力做实行政检察。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办理行政检察监督案件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205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件。印发《“检护民生”农民工工资保证金行政检察专项监督的实施方案》，助力根治工程领域欠薪问题。联合县民政局出台相关机制，规范系统办理冒名顶替、弄虚作假婚姻登记纠纷案件，成功促使黄某某长达15年的错误婚姻登记得以纠正。稳妥推进行刑反向衔接工作，办理案件182件，推动行政机关对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不起诉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人员作出行政处罚。</w:t>
      </w:r>
    </w:p>
    <w:p w14:paraId="732837A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sz w:val="32"/>
          <w:szCs w:val="32"/>
          <w:lang w:eastAsia="zh-CN"/>
        </w:rPr>
        <w:t>全力做好公益诉讼检察。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共立案各类公益诉讼案件62件。开展“常检护农”专项监督工作，办理相关案件10件。持续加大食品药品安全领域公益诉讼办案力度，守护舌尖上的安全，对2件销售有毒有害食品案件提起公益诉讼，获法院支持惩罚性赔偿17.2万元。聚焦生态环境保护，向违法行为人索赔生态环境损害赔偿金共计586.95万元，督促整改污染企业6家，督促拆除天然水域养殖矮围1处共134米，督促清理被污染的水域面积1151.57亩。</w:t>
      </w:r>
    </w:p>
    <w:p w14:paraId="0532B99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楷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公文楷体" w:cs="Times New Roman"/>
          <w:sz w:val="32"/>
          <w:szCs w:val="32"/>
          <w:lang w:val="en-US" w:eastAsia="zh-CN"/>
        </w:rPr>
        <w:t>抓实队伍建设</w:t>
      </w:r>
      <w:r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公文楷体" w:cs="Times New Roman"/>
          <w:sz w:val="32"/>
          <w:szCs w:val="32"/>
          <w:lang w:val="en-US" w:eastAsia="zh-CN"/>
        </w:rPr>
        <w:t>夯实法治事业根基</w:t>
      </w:r>
    </w:p>
    <w:p w14:paraId="27325BD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1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eastAsia="zh-CN"/>
        </w:rPr>
        <w:t>教育培训提升专业素能。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定期组织专业学习，集体学习法律法规、最新司法解释，更新干警知识体系。打造“汉检大讲堂”“国旗下的领悟”“道德讲堂”等学习平台，借助“学习强国”、中检网等外部优质资源提高教育培训质量。择优推荐参加条线比赛，通过参加公诉人业务竞赛、模拟法庭论辩、庭审观摩评议等方式，提升干警业务能力和综合素养。</w:t>
      </w:r>
    </w:p>
    <w:p w14:paraId="509555D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1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eastAsia="zh-CN"/>
        </w:rPr>
        <w:t>接受监督强化公正司法。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lang w:eastAsia="zh-CN"/>
        </w:rPr>
        <w:t>自觉接受县人大及其常委会监督，虚心接受县政协民主监督。定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期向人大代表、政协委员汇报检察工作，发放介绍重大部署、工作动态和工作成效的联络专刊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850余份。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邀请人大代表、政协委员、人民监督员等参加公开听证、观摩庭审、检察开放日等活动百余人次。</w:t>
      </w:r>
      <w:bookmarkStart w:id="0" w:name="OLE_LINK2"/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开展检察官履职评议工作</w:t>
      </w:r>
      <w:bookmarkStart w:id="1" w:name="OLE_LINK3"/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、优化法治化营商环境工作，</w:t>
      </w:r>
      <w:bookmarkEnd w:id="0"/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自觉接受县人大常委会监督，其中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4名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被评议检察官就履职情况现场“答卷”</w:t>
      </w:r>
      <w:bookmarkEnd w:id="1"/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。常态化业务数据监管，加强案件流程监控，开展流程监控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218件。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评查各类案件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985件，做深案件质量评查，推动业务管理、案件管理、质量管理相贯通。</w:t>
      </w:r>
    </w:p>
    <w:p w14:paraId="50F6477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1" w:firstLineChars="200"/>
        <w:jc w:val="both"/>
        <w:textAlignment w:val="auto"/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eastAsia="zh-CN"/>
        </w:rPr>
        <w:t>正风肃纪抓实纪律建设。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认真履行党风廉政建设主体责任，严格落实“一岗双责”。认真配合支持派驻纪检监察组开展日常监督。持之以恒落实中央八项规定精神。针对检察办案、综合岗位廉政风险薄弱环节，制定廉政风险防控清单。严格执行“三个规定”填报制度。深入开展党纪学习教育，认真学习新修订的《中国共产党纪律处分条例》，做到学纪知纪明纪守纪。积极深入推进“清廉机关”建设，组织党员赴德山监狱开展警示教育、观看警示教育片，筑牢思想防线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2834D2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公文黑体" w:cs="Times New Roman"/>
          <w:sz w:val="32"/>
          <w:szCs w:val="32"/>
          <w:lang w:eastAsia="zh-CN"/>
        </w:rPr>
        <w:t>、存在的问题和困难</w:t>
      </w:r>
    </w:p>
    <w:p w14:paraId="630CB41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年，我院法治建设取得了积极的成效，在看到成绩的同时，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我们检察工作中仍存在一些不足之处：一是检察理念需持续更新，在保障经济社会发展中的贡献度还不够大。二是法律监督职能发展不充分，监督机制和方式方法需进一步健全完善。三是面对新形势新要求，检察队伍需不断优化，检察干警的责任意识与履职能力需进一步提高。</w:t>
      </w:r>
    </w:p>
    <w:p w14:paraId="489DEA7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公文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方正公文黑体" w:cs="Times New Roman"/>
          <w:sz w:val="32"/>
          <w:szCs w:val="32"/>
          <w:lang w:eastAsia="zh-CN"/>
        </w:rPr>
        <w:t>推进法治政府建设的工作打算</w:t>
      </w:r>
    </w:p>
    <w:p w14:paraId="264D6DF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2025年，</w:t>
      </w:r>
      <w:bookmarkStart w:id="2" w:name="OLE_LINK1"/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县人民检察院</w:t>
      </w:r>
      <w:bookmarkEnd w:id="2"/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将继续坚持以习近平新时代中国特色社会主义思想为指导，全面贯彻党的二十大及历次全会精神，全面落实《中共中央关于加强新时代检察机关法律监督工作的意见》，紧紧围绕县委“强工稳农 活旅靓城”发展战略，聚焦“高质效办好每一个案件”，认真开展“检察管理质效提升年”活动，以“全市领先、全省一流”为目标，以实绩实效推动检察工作迈上新台阶，为建设社会主义现代化新汉寿提供坚实司法力量。</w:t>
      </w:r>
    </w:p>
    <w:p w14:paraId="618D7A0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加强政治建设。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学深悟透党的二十届三中全会精神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深刻领悟“两个确立”的决定性意义，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坚决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做到“两个维护”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始终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坚持党对检察工作的绝对领导，严格落实《中国共产党重大事项请示报告条例》《中国共产党政法工作条例》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主动向县委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和县委政法委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请示报告工作，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自觉执行上级机关各项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决策</w:t>
      </w:r>
      <w:r>
        <w:rPr>
          <w:rFonts w:hint="default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部署</w:t>
      </w:r>
      <w:r>
        <w:rPr>
          <w:rFonts w:hint="eastAsia" w:ascii="Times New Roman" w:hAnsi="Times New Roman" w:eastAsia="方正公文仿宋" w:cs="Times New Roman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把牢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检察工作正确政治方向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。全面落实意识形态工作责任制，确保意识形态领域安全。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找准党建工作的切入点，持续推进党建与业务深度融合，打造优质党建品牌。</w:t>
      </w:r>
    </w:p>
    <w:p w14:paraId="60A1CDC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持续护航中心大局</w:t>
      </w:r>
      <w:r>
        <w:rPr>
          <w:rFonts w:hint="default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依法履行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检察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职责，充分运用法治力量服务高质量发展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。始终保持“严”的震慑，纵深推进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常态化扫黑除恶斗争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，依法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从重从严从快惩治严重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暴力犯罪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重大恶性犯罪，依法惩治人民群众反映强烈的涉枪涉爆、黄赌毒、盗抢骗、电信网络诈骗等违法犯罪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。依法严厉打击侵害未成年人犯罪，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高度重视未成年人犯罪预防与治理，积极开展为期三年的守护青少年健康成长行动。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优化法治化营商环境，平等保护各类市场主体合法权益。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积极参与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“你服务 我保护”共创平安汉寿活动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，持续加强新就业形态劳动者的权益保障。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全面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准确落实宽严相济刑事政策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，完善认罪认罚从宽制度。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坚持和发展新时代“枫桥经验”，持续开展“化解矛盾风险 维护社会稳定”专项治理行动，推进检察信访工作法治化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严防极端案事件发生。</w:t>
      </w:r>
    </w:p>
    <w:p w14:paraId="0493E68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强化法律监督。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做优刑事检察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监督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加强对刑事诉讼全流程监督，持续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推动侦查监督与协作配合办公室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实质化运行，重点运用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轻案快办机制推动快捕快诉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。运用“派驻+巡回+科技”监督机制，深化刑事执行检察工作。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做强民事检察监督，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深化“检护民生”专项行动，强化对民事执行全程监督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，常态化开展虚假诉讼监督，持续优化支持起诉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工作。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做实行政检察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监督，强化行政违法行为监督，加强行政处罚和刑事处罚双向衔接工作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。做好公益诉讼检察，落实“4+11+N”法定责任，全面履行国家利益和社会公共利益保护检察职责。加强司法工作人员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职务犯罪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检察侦查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严惩司法腐败，维护司法公正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。积极融入“数字检察”战略，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不断提升法律监督质效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 xml:space="preserve"> </w:t>
      </w:r>
    </w:p>
    <w:p w14:paraId="7AE4D1C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公文楷体" w:cs="Times New Roman"/>
          <w:b w:val="0"/>
          <w:bCs w:val="0"/>
          <w:color w:val="auto"/>
          <w:sz w:val="32"/>
          <w:szCs w:val="32"/>
          <w:lang w:val="en-US" w:eastAsia="zh-CN"/>
        </w:rPr>
        <w:t>狠抓队伍建设。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持续强化思想政治教育和业务学习，一体化推进政治建设和业务建设，全面提升检察人员的履职能力和职业素养。抓好领导班子建设，以强监督、转作风、勤示范、严考核为着力点，狠抓党组班子建设，确保党组班子成员遵规守纪、严格自律、勇于担当，充分发挥模范表率作用。强化业务能力，利用线上＋线下平台，以实战练兵、学习培训为抓手，持续办好“汉检大讲堂”，开展以赛代训、听庭评议、案例分析、专家上课等活动，不断提升干警业务能力和综合素质。持续巩固党纪学习教育成果，严格落实“一岗双责”，压实党风廉政建设主体责任，常态化开展警示教育，强化检察干警日常监督、重点监督，不断提升纪律作风建设水平。</w:t>
      </w:r>
    </w:p>
    <w:p w14:paraId="5F44415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8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</w:pPr>
    </w:p>
    <w:p w14:paraId="757CCE4D">
      <w:pPr>
        <w:pStyle w:val="2"/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</w:pPr>
    </w:p>
    <w:p w14:paraId="5A04D8F6">
      <w:pPr>
        <w:ind w:firstLine="5440" w:firstLineChars="1700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汉寿县人民检察院</w:t>
      </w:r>
    </w:p>
    <w:p w14:paraId="4FFBF759">
      <w:pPr>
        <w:pStyle w:val="2"/>
        <w:ind w:firstLine="5440" w:firstLineChars="1700"/>
        <w:rPr>
          <w:rFonts w:hint="default"/>
          <w:lang w:val="en-US" w:eastAsia="zh-CN"/>
        </w:rPr>
      </w:pPr>
      <w:r>
        <w:rPr>
          <w:rFonts w:hint="eastAsia" w:eastAsia="方正公文仿宋" w:cs="Times New Roman"/>
          <w:sz w:val="32"/>
          <w:szCs w:val="32"/>
          <w:lang w:val="en-US" w:eastAsia="zh-CN"/>
        </w:rPr>
        <w:t>2025年2月24日</w:t>
      </w:r>
    </w:p>
    <w:p w14:paraId="13BE7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</w:pPr>
    </w:p>
    <w:p w14:paraId="7386D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</w:pPr>
    </w:p>
    <w:p w14:paraId="5CA80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</w:pPr>
    </w:p>
    <w:p w14:paraId="595F2E6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B62A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92F5D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492F5D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34DA1"/>
    <w:multiLevelType w:val="singleLevel"/>
    <w:tmpl w:val="B6634D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B4994"/>
    <w:rsid w:val="1C52486A"/>
    <w:rsid w:val="276D2E3E"/>
    <w:rsid w:val="3A1D676B"/>
    <w:rsid w:val="412752AA"/>
    <w:rsid w:val="588E3ECA"/>
    <w:rsid w:val="70F5350B"/>
    <w:rsid w:val="723C6AEE"/>
    <w:rsid w:val="74DB4994"/>
    <w:rsid w:val="7F7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tabs>
        <w:tab w:val="left" w:pos="7920"/>
      </w:tabs>
      <w:adjustRightInd w:val="0"/>
      <w:snapToGrid w:val="0"/>
      <w:spacing w:line="580" w:lineRule="exact"/>
      <w:ind w:right="26"/>
      <w:jc w:val="center"/>
      <w:outlineLvl w:val="1"/>
    </w:pPr>
    <w:rPr>
      <w:rFonts w:ascii="楷体" w:hAnsi="楷体" w:eastAsia="楷体" w:cs="Times New Roman"/>
      <w:b/>
      <w:bCs/>
      <w:kern w:val="0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4775</Words>
  <Characters>4889</Characters>
  <Lines>0</Lines>
  <Paragraphs>0</Paragraphs>
  <TotalTime>31</TotalTime>
  <ScaleCrop>false</ScaleCrop>
  <LinksUpToDate>false</LinksUpToDate>
  <CharactersWithSpaces>4901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2025-02-17T08:27:00Z</dcterms:created>
  <dc:creator>害羞的小辣椒</dc:creator>
  <cp:lastModifiedBy>坨坨媛</cp:lastModifiedBy>
  <cp:lastPrinted>2025-02-24T06:40:00Z</cp:lastPrinted>
  <dcterms:modified xsi:type="dcterms:W3CDTF">2025-04-07T03:49:03Z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32639B127CA54B2A93F3B21F16D3D156_13</vt:lpwstr>
  </property>
  <property fmtid="{D5CDD505-2E9C-101B-9397-08002B2CF9AE}" pid="4" name="KSOTemplateDocerSaveRecord">
    <vt:lpwstr>eyJoZGlkIjoiMzYzZTc2ZTgxYTIyMjgwN2QzM2Q2M2IyM2NjYWM3NGEiLCJ1c2VySWQiOiI5ODIyMjMxODAifQ==</vt:lpwstr>
  </property>
</Properties>
</file>